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D" w:rsidRDefault="00FE459C" w:rsidP="00A55FB1">
      <w:pPr>
        <w:pStyle w:val="StyleHeading1Centered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ARTIKEL </w:t>
      </w:r>
    </w:p>
    <w:p w:rsidR="00FE459C" w:rsidRDefault="00FE459C" w:rsidP="00FE459C">
      <w:pPr>
        <w:pStyle w:val="StyleHeading1Centered"/>
        <w:ind w:left="4320" w:firstLine="720"/>
        <w:jc w:val="left"/>
        <w:rPr>
          <w:sz w:val="24"/>
          <w:szCs w:val="24"/>
          <w:lang w:val="es-ES_tradnl"/>
        </w:rPr>
      </w:pPr>
    </w:p>
    <w:p w:rsidR="00FE459C" w:rsidRDefault="00FE459C" w:rsidP="00061618">
      <w:pPr>
        <w:pStyle w:val="StyleHeading1Centered"/>
        <w:ind w:left="5040" w:firstLine="720"/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OLEH :</w:t>
      </w:r>
      <w:proofErr w:type="gramEnd"/>
      <w:r>
        <w:rPr>
          <w:sz w:val="24"/>
          <w:szCs w:val="24"/>
          <w:lang w:val="es-ES_tradnl"/>
        </w:rPr>
        <w:t xml:space="preserve">  ARMIZAH, </w:t>
      </w:r>
      <w:proofErr w:type="spellStart"/>
      <w:r>
        <w:rPr>
          <w:sz w:val="24"/>
          <w:szCs w:val="24"/>
          <w:lang w:val="es-ES_tradnl"/>
        </w:rPr>
        <w:t>M.Pd</w:t>
      </w:r>
      <w:proofErr w:type="spellEnd"/>
    </w:p>
    <w:p w:rsidR="00FE459C" w:rsidRDefault="00FE459C" w:rsidP="00FE459C">
      <w:pPr>
        <w:pStyle w:val="StyleHeading1Centered"/>
        <w:ind w:left="4320"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</w:t>
      </w:r>
      <w:proofErr w:type="gramStart"/>
      <w:r>
        <w:rPr>
          <w:sz w:val="24"/>
          <w:szCs w:val="24"/>
          <w:lang w:val="es-ES_tradnl"/>
        </w:rPr>
        <w:t xml:space="preserve">( </w:t>
      </w:r>
      <w:proofErr w:type="spellStart"/>
      <w:r>
        <w:rPr>
          <w:sz w:val="24"/>
          <w:szCs w:val="24"/>
          <w:lang w:val="es-ES_tradnl"/>
        </w:rPr>
        <w:t>Guru</w:t>
      </w:r>
      <w:proofErr w:type="spellEnd"/>
      <w:proofErr w:type="gram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MTsN</w:t>
      </w:r>
      <w:proofErr w:type="spellEnd"/>
      <w:r>
        <w:rPr>
          <w:sz w:val="24"/>
          <w:szCs w:val="24"/>
          <w:lang w:val="es-ES_tradnl"/>
        </w:rPr>
        <w:t xml:space="preserve"> 01 </w:t>
      </w:r>
      <w:proofErr w:type="spellStart"/>
      <w:r>
        <w:rPr>
          <w:sz w:val="24"/>
          <w:szCs w:val="24"/>
          <w:lang w:val="es-ES_tradnl"/>
        </w:rPr>
        <w:t>Kepahiang</w:t>
      </w:r>
      <w:proofErr w:type="spellEnd"/>
      <w:r>
        <w:rPr>
          <w:sz w:val="24"/>
          <w:szCs w:val="24"/>
          <w:lang w:val="es-ES_tradnl"/>
        </w:rPr>
        <w:t xml:space="preserve">  )</w:t>
      </w:r>
    </w:p>
    <w:p w:rsidR="00FE459C" w:rsidRDefault="00FE459C" w:rsidP="00FE459C">
      <w:pPr>
        <w:pStyle w:val="StyleHeading1Centered"/>
        <w:ind w:left="4320" w:firstLine="720"/>
        <w:rPr>
          <w:sz w:val="24"/>
          <w:szCs w:val="24"/>
          <w:lang w:val="es-ES_tradnl"/>
        </w:rPr>
      </w:pPr>
    </w:p>
    <w:p w:rsidR="00FE459C" w:rsidRDefault="00061618" w:rsidP="00061618">
      <w:pPr>
        <w:pStyle w:val="StyleHeading1Centered"/>
        <w:ind w:left="2880" w:firstLine="720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JUDUL</w:t>
      </w:r>
      <w:r w:rsidR="00FE459C">
        <w:rPr>
          <w:sz w:val="24"/>
          <w:szCs w:val="24"/>
          <w:lang w:val="es-ES_tradnl"/>
        </w:rPr>
        <w:t xml:space="preserve">  </w:t>
      </w:r>
    </w:p>
    <w:p w:rsidR="00A55FB1" w:rsidRDefault="00A55FB1" w:rsidP="00A55FB1">
      <w:pPr>
        <w:pStyle w:val="StyleHeading1Centered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Penerapan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Metode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Outdoor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Study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Dalam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Upaya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Meningkatkan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Minat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Belajar</w:t>
      </w:r>
      <w:proofErr w:type="spellEnd"/>
    </w:p>
    <w:p w:rsidR="00A55FB1" w:rsidRDefault="00A55FB1" w:rsidP="00A55FB1">
      <w:pPr>
        <w:pStyle w:val="StyleHeading1Centered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Siswa</w:t>
      </w:r>
      <w:proofErr w:type="spellEnd"/>
      <w:r>
        <w:rPr>
          <w:sz w:val="24"/>
          <w:szCs w:val="24"/>
          <w:lang w:val="es-ES_tradnl"/>
        </w:rPr>
        <w:t xml:space="preserve"> VII- A </w:t>
      </w:r>
      <w:proofErr w:type="spellStart"/>
      <w:r>
        <w:rPr>
          <w:sz w:val="24"/>
          <w:szCs w:val="24"/>
          <w:lang w:val="es-ES_tradnl"/>
        </w:rPr>
        <w:t>Mtsn</w:t>
      </w:r>
      <w:proofErr w:type="spellEnd"/>
      <w:r>
        <w:rPr>
          <w:sz w:val="24"/>
          <w:szCs w:val="24"/>
          <w:lang w:val="es-ES_tradnl"/>
        </w:rPr>
        <w:t xml:space="preserve"> 01 </w:t>
      </w:r>
      <w:proofErr w:type="spellStart"/>
      <w:r>
        <w:rPr>
          <w:sz w:val="24"/>
          <w:szCs w:val="24"/>
          <w:lang w:val="es-ES_tradnl"/>
        </w:rPr>
        <w:t>Kepahiang</w:t>
      </w:r>
      <w:proofErr w:type="spellEnd"/>
    </w:p>
    <w:p w:rsidR="00A55FB1" w:rsidRDefault="00A55FB1" w:rsidP="00A55FB1">
      <w:pPr>
        <w:pStyle w:val="StyleHeading1Centered"/>
        <w:rPr>
          <w:sz w:val="24"/>
          <w:szCs w:val="24"/>
          <w:lang w:val="es-ES_tradnl"/>
        </w:rPr>
      </w:pPr>
      <w:r w:rsidRPr="00AF4019">
        <w:rPr>
          <w:sz w:val="24"/>
          <w:szCs w:val="24"/>
          <w:lang w:val="es-ES_tradnl"/>
        </w:rPr>
        <w:t>ABSTRAK</w:t>
      </w:r>
    </w:p>
    <w:p w:rsidR="00A55FB1" w:rsidRPr="00AF4019" w:rsidRDefault="00A55FB1" w:rsidP="00A55FB1">
      <w:pPr>
        <w:pStyle w:val="StyleHeading1Centered"/>
        <w:jc w:val="bot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Banyak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faktor</w:t>
      </w:r>
      <w:proofErr w:type="spellEnd"/>
      <w:r>
        <w:rPr>
          <w:sz w:val="24"/>
          <w:szCs w:val="24"/>
          <w:lang w:val="es-ES_tradnl"/>
        </w:rPr>
        <w:t xml:space="preserve"> yang </w:t>
      </w:r>
      <w:proofErr w:type="spellStart"/>
      <w:r>
        <w:rPr>
          <w:sz w:val="24"/>
          <w:szCs w:val="24"/>
          <w:lang w:val="es-ES_tradnl"/>
        </w:rPr>
        <w:t>mempengaruhi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proses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belajar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mengajar</w:t>
      </w:r>
      <w:proofErr w:type="gramStart"/>
      <w:r>
        <w:rPr>
          <w:sz w:val="24"/>
          <w:szCs w:val="24"/>
          <w:lang w:val="es-ES_tradnl"/>
        </w:rPr>
        <w:t>,baik</w:t>
      </w:r>
      <w:proofErr w:type="spellEnd"/>
      <w:proofErr w:type="gramEnd"/>
      <w:r>
        <w:rPr>
          <w:sz w:val="24"/>
          <w:szCs w:val="24"/>
          <w:lang w:val="es-ES_tradnl"/>
        </w:rPr>
        <w:t xml:space="preserve"> yang </w:t>
      </w:r>
      <w:proofErr w:type="spellStart"/>
      <w:r>
        <w:rPr>
          <w:sz w:val="24"/>
          <w:szCs w:val="24"/>
          <w:lang w:val="es-ES_tradnl"/>
        </w:rPr>
        <w:t>bersifat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internal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maupun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Eksternal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diantaranya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adalah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masalah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minat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dari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siswa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itu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sendiri.Minat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adalah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faktor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penting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dalam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proses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pembelajaran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karena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dengan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minat</w:t>
      </w:r>
      <w:proofErr w:type="spellEnd"/>
      <w:r>
        <w:rPr>
          <w:sz w:val="24"/>
          <w:szCs w:val="24"/>
          <w:lang w:val="es-ES_tradnl"/>
        </w:rPr>
        <w:t xml:space="preserve"> yang </w:t>
      </w:r>
      <w:proofErr w:type="spellStart"/>
      <w:r>
        <w:rPr>
          <w:sz w:val="24"/>
          <w:szCs w:val="24"/>
          <w:lang w:val="es-ES_tradnl"/>
        </w:rPr>
        <w:t>tinggi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diharapkan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hasil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belajar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semakin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meningkat.Disamping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itu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perlu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variasi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metode</w:t>
      </w:r>
      <w:proofErr w:type="spellEnd"/>
      <w:r>
        <w:rPr>
          <w:sz w:val="24"/>
          <w:szCs w:val="24"/>
          <w:lang w:val="es-ES_tradnl"/>
        </w:rPr>
        <w:t xml:space="preserve"> yang </w:t>
      </w:r>
      <w:proofErr w:type="spellStart"/>
      <w:r>
        <w:rPr>
          <w:sz w:val="24"/>
          <w:szCs w:val="24"/>
          <w:lang w:val="es-ES_tradnl"/>
        </w:rPr>
        <w:t>digunakan</w:t>
      </w:r>
      <w:proofErr w:type="spellEnd"/>
      <w:r>
        <w:rPr>
          <w:sz w:val="24"/>
          <w:szCs w:val="24"/>
          <w:lang w:val="es-ES_tradnl"/>
        </w:rPr>
        <w:t xml:space="preserve">, </w:t>
      </w:r>
      <w:proofErr w:type="spellStart"/>
      <w:r>
        <w:rPr>
          <w:sz w:val="24"/>
          <w:szCs w:val="24"/>
          <w:lang w:val="es-ES_tradnl"/>
        </w:rPr>
        <w:t>diantaranya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menerapkan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metode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outdoor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study</w:t>
      </w:r>
      <w:proofErr w:type="spellEnd"/>
      <w:r>
        <w:rPr>
          <w:sz w:val="24"/>
          <w:szCs w:val="24"/>
          <w:lang w:val="es-ES_tradnl"/>
        </w:rPr>
        <w:t xml:space="preserve"> ( </w:t>
      </w:r>
      <w:proofErr w:type="spellStart"/>
      <w:r>
        <w:rPr>
          <w:sz w:val="24"/>
          <w:szCs w:val="24"/>
          <w:lang w:val="es-ES_tradnl"/>
        </w:rPr>
        <w:t>belajar</w:t>
      </w:r>
      <w:proofErr w:type="spellEnd"/>
      <w:r>
        <w:rPr>
          <w:sz w:val="24"/>
          <w:szCs w:val="24"/>
          <w:lang w:val="es-ES_tradnl"/>
        </w:rPr>
        <w:t xml:space="preserve"> di </w:t>
      </w:r>
      <w:proofErr w:type="spellStart"/>
      <w:r>
        <w:rPr>
          <w:sz w:val="24"/>
          <w:szCs w:val="24"/>
          <w:lang w:val="es-ES_tradnl"/>
        </w:rPr>
        <w:t>luar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kelas</w:t>
      </w:r>
      <w:proofErr w:type="spellEnd"/>
      <w:r>
        <w:rPr>
          <w:sz w:val="24"/>
          <w:szCs w:val="24"/>
          <w:lang w:val="es-ES_tradnl"/>
        </w:rPr>
        <w:t xml:space="preserve"> ). </w:t>
      </w:r>
      <w:proofErr w:type="spellStart"/>
      <w:r>
        <w:rPr>
          <w:sz w:val="24"/>
          <w:szCs w:val="24"/>
          <w:lang w:val="es-ES_tradnl"/>
        </w:rPr>
        <w:t>Penelitian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merupakan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penelitian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tindakan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kelas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dengan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subjek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siswa</w:t>
      </w:r>
      <w:proofErr w:type="spellEnd"/>
      <w:r>
        <w:rPr>
          <w:sz w:val="24"/>
          <w:szCs w:val="24"/>
          <w:lang w:val="es-ES_tradnl"/>
        </w:rPr>
        <w:t>/</w:t>
      </w:r>
      <w:proofErr w:type="spellStart"/>
      <w:r>
        <w:rPr>
          <w:sz w:val="24"/>
          <w:szCs w:val="24"/>
          <w:lang w:val="es-ES_tradnl"/>
        </w:rPr>
        <w:t>siswi</w:t>
      </w:r>
      <w:proofErr w:type="spellEnd"/>
      <w:r>
        <w:rPr>
          <w:sz w:val="24"/>
          <w:szCs w:val="24"/>
          <w:lang w:val="es-ES_tradnl"/>
        </w:rPr>
        <w:t xml:space="preserve"> VII-A </w:t>
      </w:r>
      <w:proofErr w:type="spellStart"/>
      <w:r>
        <w:rPr>
          <w:sz w:val="24"/>
          <w:szCs w:val="24"/>
          <w:lang w:val="es-ES_tradnl"/>
        </w:rPr>
        <w:t>Mtsn</w:t>
      </w:r>
      <w:proofErr w:type="spellEnd"/>
      <w:r>
        <w:rPr>
          <w:sz w:val="24"/>
          <w:szCs w:val="24"/>
          <w:lang w:val="es-ES_tradnl"/>
        </w:rPr>
        <w:t xml:space="preserve"> 01 </w:t>
      </w:r>
      <w:proofErr w:type="spellStart"/>
      <w:r>
        <w:rPr>
          <w:sz w:val="24"/>
          <w:szCs w:val="24"/>
          <w:lang w:val="es-ES_tradnl"/>
        </w:rPr>
        <w:t>Kepahian</w:t>
      </w:r>
      <w:r w:rsidR="00A464EB">
        <w:rPr>
          <w:sz w:val="24"/>
          <w:szCs w:val="24"/>
          <w:lang w:val="es-ES_tradnl"/>
        </w:rPr>
        <w:t>g</w:t>
      </w:r>
      <w:proofErr w:type="spellEnd"/>
      <w:r w:rsidR="00A464EB">
        <w:rPr>
          <w:sz w:val="24"/>
          <w:szCs w:val="24"/>
          <w:lang w:val="es-ES_tradnl"/>
        </w:rPr>
        <w:t xml:space="preserve"> TP.2013/2014 yang </w:t>
      </w:r>
      <w:proofErr w:type="spellStart"/>
      <w:r w:rsidR="00A464EB">
        <w:rPr>
          <w:sz w:val="24"/>
          <w:szCs w:val="24"/>
          <w:lang w:val="es-ES_tradnl"/>
        </w:rPr>
        <w:t>berjumlah</w:t>
      </w:r>
      <w:proofErr w:type="spellEnd"/>
      <w:r w:rsidR="00A464EB">
        <w:rPr>
          <w:sz w:val="24"/>
          <w:szCs w:val="24"/>
          <w:lang w:val="es-ES_tradnl"/>
        </w:rPr>
        <w:t xml:space="preserve"> 28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orang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dengan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melaksanakan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dua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siklus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pembelajaran</w:t>
      </w:r>
      <w:proofErr w:type="spellEnd"/>
      <w:r>
        <w:rPr>
          <w:sz w:val="24"/>
          <w:szCs w:val="24"/>
          <w:lang w:val="es-ES_tradnl"/>
        </w:rPr>
        <w:t xml:space="preserve">. </w:t>
      </w:r>
      <w:proofErr w:type="spellStart"/>
      <w:r>
        <w:rPr>
          <w:sz w:val="24"/>
          <w:szCs w:val="24"/>
          <w:lang w:val="es-ES_tradnl"/>
        </w:rPr>
        <w:t>Penelitian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ini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bersifat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deskriptif</w:t>
      </w:r>
      <w:proofErr w:type="spellEnd"/>
      <w:r>
        <w:rPr>
          <w:sz w:val="24"/>
          <w:szCs w:val="24"/>
          <w:lang w:val="es-ES_tradnl"/>
        </w:rPr>
        <w:t xml:space="preserve"> yang </w:t>
      </w:r>
      <w:proofErr w:type="spellStart"/>
      <w:r>
        <w:rPr>
          <w:sz w:val="24"/>
          <w:szCs w:val="24"/>
          <w:lang w:val="es-ES_tradnl"/>
        </w:rPr>
        <w:t>bertujuan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untuk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mendeskripsikan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peningkatan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minat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belajar</w:t>
      </w:r>
      <w:proofErr w:type="spellEnd"/>
      <w:r>
        <w:rPr>
          <w:sz w:val="24"/>
          <w:szCs w:val="24"/>
          <w:lang w:val="es-ES_tradnl"/>
        </w:rPr>
        <w:t xml:space="preserve"> dan </w:t>
      </w:r>
      <w:proofErr w:type="spellStart"/>
      <w:r>
        <w:rPr>
          <w:sz w:val="24"/>
          <w:szCs w:val="24"/>
          <w:lang w:val="es-ES_tradnl"/>
        </w:rPr>
        <w:t>pemahaman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siswa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terhadap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pembelajaran</w:t>
      </w:r>
      <w:proofErr w:type="spellEnd"/>
      <w:r>
        <w:rPr>
          <w:sz w:val="24"/>
          <w:szCs w:val="24"/>
          <w:lang w:val="es-ES_tradnl"/>
        </w:rPr>
        <w:t xml:space="preserve"> PKN </w:t>
      </w:r>
      <w:proofErr w:type="spellStart"/>
      <w:r>
        <w:rPr>
          <w:sz w:val="24"/>
          <w:szCs w:val="24"/>
          <w:lang w:val="es-ES_tradnl"/>
        </w:rPr>
        <w:t>dengan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menerapkan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metode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outdoor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study</w:t>
      </w:r>
      <w:proofErr w:type="spellEnd"/>
      <w:r>
        <w:rPr>
          <w:sz w:val="24"/>
          <w:szCs w:val="24"/>
          <w:lang w:val="es-ES_tradnl"/>
        </w:rPr>
        <w:t>.</w:t>
      </w:r>
    </w:p>
    <w:p w:rsidR="00A55FB1" w:rsidRDefault="00A55FB1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  <w:u w:val="single"/>
        </w:rPr>
      </w:pPr>
    </w:p>
    <w:p w:rsidR="00A55FB1" w:rsidRDefault="00A55FB1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F4019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proofErr w:type="gramStart"/>
      <w:r w:rsidRPr="00AF4019">
        <w:rPr>
          <w:rFonts w:ascii="Times New Roman" w:hAnsi="Times New Roman" w:cs="Times New Roman"/>
          <w:sz w:val="24"/>
          <w:szCs w:val="24"/>
          <w:u w:val="single"/>
        </w:rPr>
        <w:t>words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4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PKN, </w:t>
      </w:r>
      <w:proofErr w:type="spellStart"/>
      <w:r w:rsidRPr="00AF401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F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Outdoor Study</w:t>
      </w:r>
      <w:r w:rsidRPr="00AF401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F40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F4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3171D" w:rsidRDefault="0073171D" w:rsidP="00A55FB1">
      <w:pPr>
        <w:spacing w:before="12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424D5" w:rsidRDefault="00061618" w:rsidP="0073171D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VII A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Kepahiang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2013/2014.</w:t>
      </w:r>
      <w:proofErr w:type="gram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171D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out put yang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pembelajrannya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KKM. </w:t>
      </w:r>
      <w:proofErr w:type="spellStart"/>
      <w:r w:rsidR="00F424D5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D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73171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73171D">
        <w:rPr>
          <w:rFonts w:ascii="Times New Roman" w:hAnsi="Times New Roman" w:cs="Times New Roman"/>
          <w:sz w:val="24"/>
          <w:szCs w:val="24"/>
        </w:rPr>
        <w:t xml:space="preserve"> / jam </w:t>
      </w:r>
      <w:r w:rsidR="00FE35FB">
        <w:rPr>
          <w:rFonts w:ascii="Times New Roman" w:hAnsi="Times New Roman" w:cs="Times New Roman"/>
          <w:sz w:val="24"/>
          <w:szCs w:val="24"/>
        </w:rPr>
        <w:t xml:space="preserve">13.00 </w:t>
      </w:r>
      <w:proofErr w:type="spellStart"/>
      <w:r w:rsidR="00FE35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5FB">
        <w:rPr>
          <w:rFonts w:ascii="Times New Roman" w:hAnsi="Times New Roman" w:cs="Times New Roman"/>
          <w:sz w:val="24"/>
          <w:szCs w:val="24"/>
        </w:rPr>
        <w:t>cuaca</w:t>
      </w:r>
      <w:proofErr w:type="spellEnd"/>
      <w:r w:rsidR="00FE35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4D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D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F424D5">
        <w:rPr>
          <w:rFonts w:ascii="Times New Roman" w:hAnsi="Times New Roman" w:cs="Times New Roman"/>
          <w:sz w:val="24"/>
          <w:szCs w:val="24"/>
        </w:rPr>
        <w:t>.</w:t>
      </w:r>
    </w:p>
    <w:p w:rsidR="00FE35FB" w:rsidRDefault="00FE35FB" w:rsidP="0073171D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outdoor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outdoor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D1F" w:rsidRPr="00823D1F" w:rsidRDefault="00F424D5" w:rsidP="00823D1F">
      <w:pPr>
        <w:widowControl w:val="0"/>
        <w:autoSpaceDE w:val="0"/>
        <w:autoSpaceDN w:val="0"/>
        <w:adjustRightInd w:val="0"/>
        <w:spacing w:line="48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3D1F" w:rsidRPr="00823D1F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="00823D1F" w:rsidRPr="00823D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3D1F" w:rsidRPr="00823D1F">
        <w:rPr>
          <w:rFonts w:ascii="Times New Roman" w:hAnsi="Times New Roman" w:cs="Times New Roman"/>
          <w:b/>
          <w:sz w:val="24"/>
          <w:szCs w:val="24"/>
        </w:rPr>
        <w:t>PKN</w:t>
      </w:r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23D1F" w:rsidRPr="00823D1F" w:rsidRDefault="00823D1F" w:rsidP="00823D1F">
      <w:pPr>
        <w:widowControl w:val="0"/>
        <w:autoSpaceDE w:val="0"/>
        <w:autoSpaceDN w:val="0"/>
        <w:adjustRightInd w:val="0"/>
        <w:spacing w:line="48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23D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No.267/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Dikt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/ 2000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   Negara,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Bela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D1F">
        <w:rPr>
          <w:rFonts w:ascii="Times New Roman" w:hAnsi="Times New Roman" w:cs="Times New Roman"/>
          <w:sz w:val="24"/>
          <w:szCs w:val="24"/>
        </w:rPr>
        <w:t>Negara(</w:t>
      </w:r>
      <w:proofErr w:type="gramEnd"/>
      <w:r w:rsidRPr="00823D1F">
        <w:rPr>
          <w:rFonts w:ascii="Times New Roman" w:hAnsi="Times New Roman" w:cs="Times New Roman"/>
          <w:sz w:val="24"/>
          <w:szCs w:val="24"/>
        </w:rPr>
        <w:t>PPBN).</w:t>
      </w:r>
    </w:p>
    <w:p w:rsidR="00823D1F" w:rsidRPr="00823D1F" w:rsidRDefault="00823D1F" w:rsidP="00823D1F">
      <w:pPr>
        <w:widowControl w:val="0"/>
        <w:autoSpaceDE w:val="0"/>
        <w:autoSpaceDN w:val="0"/>
        <w:adjustRightInd w:val="0"/>
        <w:spacing w:line="48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23D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kewarganegaraan</w:t>
      </w:r>
      <w:proofErr w:type="gramStart"/>
      <w:r w:rsidRPr="00823D1F">
        <w:rPr>
          <w:rFonts w:ascii="Times New Roman" w:hAnsi="Times New Roman" w:cs="Times New Roman"/>
          <w:sz w:val="24"/>
          <w:szCs w:val="24"/>
        </w:rPr>
        <w:t>,warga</w:t>
      </w:r>
      <w:proofErr w:type="spellEnd"/>
      <w:proofErr w:type="gramEnd"/>
      <w:r w:rsidRPr="00823D1F">
        <w:rPr>
          <w:rFonts w:ascii="Times New Roman" w:hAnsi="Times New Roman" w:cs="Times New Roman"/>
          <w:sz w:val="24"/>
          <w:szCs w:val="24"/>
        </w:rPr>
        <w:t xml:space="preserve"> Negara NKRI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lastRenderedPageBreak/>
        <w:t>memahami,menganalisis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masyarakat,bangsa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nasionalnya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digariskan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1945.</w:t>
      </w:r>
    </w:p>
    <w:p w:rsidR="00823D1F" w:rsidRPr="00F424D5" w:rsidRDefault="00F424D5" w:rsidP="00823D1F">
      <w:pPr>
        <w:widowControl w:val="0"/>
        <w:autoSpaceDE w:val="0"/>
        <w:autoSpaceDN w:val="0"/>
        <w:adjustRightInd w:val="0"/>
        <w:spacing w:line="480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D1F" w:rsidRPr="00823D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Minat </w:t>
      </w:r>
      <w:proofErr w:type="gramStart"/>
      <w:r w:rsidR="00823D1F" w:rsidRPr="00823D1F">
        <w:rPr>
          <w:rFonts w:ascii="Times New Roman" w:hAnsi="Times New Roman" w:cs="Times New Roman"/>
          <w:b/>
          <w:sz w:val="24"/>
          <w:szCs w:val="24"/>
          <w:lang w:val="id-ID"/>
        </w:rPr>
        <w:t>Belajar</w:t>
      </w:r>
      <w:r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823D1F" w:rsidRPr="00823D1F" w:rsidRDefault="00823D1F" w:rsidP="00823D1F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Drs.Dimyati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Mahmud </w:t>
      </w:r>
      <w:proofErr w:type="gramStart"/>
      <w:r w:rsidRPr="00823D1F">
        <w:rPr>
          <w:rFonts w:ascii="Times New Roman" w:hAnsi="Times New Roman" w:cs="Times New Roman"/>
          <w:sz w:val="24"/>
          <w:szCs w:val="24"/>
        </w:rPr>
        <w:t>( 1982</w:t>
      </w:r>
      <w:proofErr w:type="gramEnd"/>
      <w:r w:rsidRPr="00823D1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menaruh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padayang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distimular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3D1F">
        <w:rPr>
          <w:rFonts w:ascii="Times New Roman" w:hAnsi="Times New Roman" w:cs="Times New Roman"/>
          <w:sz w:val="24"/>
          <w:szCs w:val="24"/>
        </w:rPr>
        <w:t>tampa</w:t>
      </w:r>
      <w:proofErr w:type="spellEnd"/>
      <w:proofErr w:type="gram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D1F" w:rsidRDefault="00FE35FB" w:rsidP="00F424D5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D1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D1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23D1F">
        <w:rPr>
          <w:rFonts w:ascii="Times New Roman" w:hAnsi="Times New Roman" w:cs="Times New Roman"/>
          <w:sz w:val="24"/>
          <w:szCs w:val="24"/>
        </w:rPr>
        <w:t xml:space="preserve"> VII A </w:t>
      </w:r>
      <w:r w:rsidR="007670CC" w:rsidRPr="00823D1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PKN </w:t>
      </w:r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tep</w:t>
      </w:r>
      <w:r w:rsidR="007670CC" w:rsidRPr="00823D1F">
        <w:rPr>
          <w:rFonts w:ascii="Times New Roman" w:hAnsi="Times New Roman" w:cs="Times New Roman"/>
          <w:sz w:val="24"/>
          <w:szCs w:val="24"/>
        </w:rPr>
        <w:t>atnya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rindang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teduh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670CC" w:rsidRPr="00823D1F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13.00 WIB,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hembusan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semilir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dikelompoknya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sebelunya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dikelompoknya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>,</w:t>
      </w:r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sua</w:t>
      </w:r>
      <w:r w:rsidR="007670CC" w:rsidRPr="00823D1F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r w:rsidR="007670CC" w:rsidRPr="00823D1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tengkurap</w:t>
      </w:r>
      <w:proofErr w:type="spellEnd"/>
      <w:r w:rsidR="007670CC" w:rsidRPr="00823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0CC" w:rsidRPr="00823D1F">
        <w:rPr>
          <w:rFonts w:ascii="Times New Roman" w:hAnsi="Times New Roman" w:cs="Times New Roman"/>
          <w:sz w:val="24"/>
          <w:szCs w:val="24"/>
        </w:rPr>
        <w:t>du</w:t>
      </w:r>
      <w:r w:rsidR="007014B9" w:rsidRPr="00823D1F">
        <w:rPr>
          <w:rFonts w:ascii="Times New Roman" w:hAnsi="Times New Roman" w:cs="Times New Roman"/>
          <w:sz w:val="24"/>
          <w:szCs w:val="24"/>
        </w:rPr>
        <w:t>duk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direrumputan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14B9" w:rsidRPr="00823D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r w:rsidR="007670CC" w:rsidRPr="00823D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2 kali.</w:t>
      </w:r>
      <w:proofErr w:type="gram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64 %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74 %,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pembelajara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014B9" w:rsidRP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 w:rsidRPr="00823D1F">
        <w:rPr>
          <w:rFonts w:ascii="Times New Roman" w:hAnsi="Times New Roman" w:cs="Times New Roman"/>
          <w:sz w:val="24"/>
          <w:szCs w:val="24"/>
        </w:rPr>
        <w:t>men</w:t>
      </w:r>
      <w:r w:rsidR="007014B9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="0070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7014B9">
        <w:rPr>
          <w:rFonts w:ascii="Times New Roman" w:hAnsi="Times New Roman" w:cs="Times New Roman"/>
          <w:sz w:val="24"/>
          <w:szCs w:val="24"/>
        </w:rPr>
        <w:t xml:space="preserve"> 71 % </w:t>
      </w:r>
      <w:proofErr w:type="spellStart"/>
      <w:r w:rsidR="007014B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0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014B9">
        <w:rPr>
          <w:rFonts w:ascii="Times New Roman" w:hAnsi="Times New Roman" w:cs="Times New Roman"/>
          <w:sz w:val="24"/>
          <w:szCs w:val="24"/>
        </w:rPr>
        <w:t xml:space="preserve"> 87 %.</w:t>
      </w:r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D1F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outdoor study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1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23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D1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3D1F" w:rsidRDefault="00823D1F" w:rsidP="00823D1F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outdoor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MTsN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kepahiang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459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inovasi-inovasi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memvariasikan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menyena</w:t>
      </w:r>
      <w:r w:rsidR="00F424D5">
        <w:rPr>
          <w:rFonts w:ascii="Times New Roman" w:hAnsi="Times New Roman" w:cs="Times New Roman"/>
          <w:sz w:val="24"/>
          <w:szCs w:val="24"/>
        </w:rPr>
        <w:t>n</w:t>
      </w:r>
      <w:r w:rsidR="00FE459C">
        <w:rPr>
          <w:rFonts w:ascii="Times New Roman" w:hAnsi="Times New Roman" w:cs="Times New Roman"/>
          <w:sz w:val="24"/>
          <w:szCs w:val="24"/>
        </w:rPr>
        <w:t>gkan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4D5">
        <w:rPr>
          <w:rFonts w:ascii="Times New Roman" w:hAnsi="Times New Roman" w:cs="Times New Roman"/>
          <w:b/>
          <w:bCs/>
          <w:sz w:val="24"/>
          <w:szCs w:val="24"/>
        </w:rPr>
        <w:t>DAFTAR</w:t>
      </w:r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r w:rsidRPr="00F424D5">
        <w:rPr>
          <w:rFonts w:ascii="Times New Roman" w:hAnsi="Times New Roman" w:cs="Times New Roman"/>
          <w:b/>
          <w:bCs/>
          <w:sz w:val="24"/>
          <w:szCs w:val="24"/>
        </w:rPr>
        <w:t>PUSTAKA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424D5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SLTP), Volume 6 No. 1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2003.</w:t>
      </w:r>
      <w:proofErr w:type="gramEnd"/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Depdiknas. 2003. Kurikulum 2004 Mata Pelajaran </w:t>
      </w:r>
      <w:r w:rsidRPr="00F424D5">
        <w:rPr>
          <w:rFonts w:ascii="Times New Roman" w:hAnsi="Times New Roman" w:cs="Times New Roman"/>
          <w:sz w:val="24"/>
          <w:szCs w:val="24"/>
        </w:rPr>
        <w:t>PKN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Untuk SMP dan MTS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4D5">
        <w:rPr>
          <w:rFonts w:ascii="Times New Roman" w:hAnsi="Times New Roman" w:cs="Times New Roman"/>
          <w:sz w:val="24"/>
          <w:szCs w:val="24"/>
          <w:lang w:val="id-ID"/>
        </w:rPr>
        <w:tab/>
        <w:t>Jakarta : Pusat Kurikulum Depdiknas.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Depdiknas. 2008.BSE </w:t>
      </w:r>
      <w:r w:rsidRPr="00F424D5">
        <w:rPr>
          <w:rFonts w:ascii="Times New Roman" w:hAnsi="Times New Roman" w:cs="Times New Roman"/>
          <w:sz w:val="24"/>
          <w:szCs w:val="24"/>
        </w:rPr>
        <w:t>PKN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Untuk Sekolah Menengah Pertama/MTS kelas IX, Jakarta: CV Teguh Karya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Effendi. 1995.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Filsafat Komunikasi.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Bandung; Remaja. Rosdakarya.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D5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>: //ekarasi.blogspot.com/2013/2014/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hakikat-pembelajaran-pengertian</w:t>
      </w:r>
      <w:proofErr w:type="spellEnd"/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F424D5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http://pakguruonline.pendidikan.net</w:t>
        </w:r>
      </w:hyperlink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gramStart"/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( </w:t>
      </w:r>
      <w:proofErr w:type="spellStart"/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>Diakses</w:t>
      </w:r>
      <w:proofErr w:type="spellEnd"/>
      <w:proofErr w:type="gramEnd"/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>Tgl</w:t>
      </w:r>
      <w:proofErr w:type="spellEnd"/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10 </w:t>
      </w:r>
      <w:proofErr w:type="spellStart"/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>Juni</w:t>
      </w:r>
      <w:proofErr w:type="spellEnd"/>
      <w:r w:rsidRPr="00F424D5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2012 ) 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Karjawati, 1995.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Hubungan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antara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penggunaan metode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mengajar,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pemanfaatan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lingkungan sebagai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sumber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belajar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dan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pengataman mengajar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guru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dengan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tingkat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motivasi beiajar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geografi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siswa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SMA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Negeri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di Kotamadya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24D5">
        <w:rPr>
          <w:rFonts w:ascii="Times New Roman" w:hAnsi="Times New Roman" w:cs="Times New Roman"/>
          <w:i/>
          <w:iCs/>
          <w:sz w:val="24"/>
          <w:szCs w:val="24"/>
          <w:lang w:val="id-ID"/>
        </w:rPr>
        <w:t>Malang.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F424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Malang. </w:t>
      </w:r>
      <w:proofErr w:type="gramStart"/>
      <w:r w:rsidRPr="00F424D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IKIP Malang.</w:t>
      </w:r>
      <w:proofErr w:type="gramEnd"/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424D5">
        <w:rPr>
          <w:rFonts w:ascii="Times New Roman" w:hAnsi="Times New Roman" w:cs="Times New Roman"/>
          <w:sz w:val="24"/>
          <w:szCs w:val="24"/>
        </w:rPr>
        <w:t>Sumaatmadja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>, N. 1997.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geografi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>TIM.2003.</w:t>
      </w:r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Rasio </w:t>
      </w:r>
      <w:r w:rsidRPr="00F424D5">
        <w:rPr>
          <w:rFonts w:ascii="Times New Roman" w:hAnsi="Times New Roman" w:cs="Times New Roman"/>
          <w:sz w:val="24"/>
          <w:szCs w:val="24"/>
        </w:rPr>
        <w:t>PKN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SMP/MTs Kelas </w:t>
      </w:r>
      <w:r w:rsidRPr="00F424D5">
        <w:rPr>
          <w:rFonts w:ascii="Times New Roman" w:hAnsi="Times New Roman" w:cs="Times New Roman"/>
          <w:sz w:val="24"/>
          <w:szCs w:val="24"/>
        </w:rPr>
        <w:t>VII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>: Bandung Viva Pakarindo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24D5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>, B. 1981.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penyuluhan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lastRenderedPageBreak/>
        <w:t>Fakultas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UGM.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4D5">
        <w:rPr>
          <w:rFonts w:ascii="Times New Roman" w:hAnsi="Times New Roman" w:cs="Times New Roman"/>
          <w:sz w:val="24"/>
          <w:szCs w:val="24"/>
        </w:rPr>
        <w:t xml:space="preserve">The Liang </w:t>
      </w:r>
      <w:proofErr w:type="spellStart"/>
      <w:r w:rsidRPr="00F424D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4D5">
        <w:rPr>
          <w:rFonts w:ascii="Times New Roman" w:hAnsi="Times New Roman" w:cs="Times New Roman"/>
          <w:sz w:val="24"/>
          <w:szCs w:val="24"/>
        </w:rPr>
        <w:t xml:space="preserve">1985. Cora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efisien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42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24D5">
        <w:rPr>
          <w:rFonts w:ascii="Times New Roman" w:hAnsi="Times New Roman" w:cs="Times New Roman"/>
          <w:sz w:val="24"/>
          <w:szCs w:val="24"/>
        </w:rPr>
        <w:t>Yogyakarta: UGM Press.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4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F424D5">
        <w:rPr>
          <w:rFonts w:ascii="Times New Roman" w:hAnsi="Times New Roman" w:cs="Times New Roman"/>
          <w:sz w:val="24"/>
          <w:szCs w:val="24"/>
        </w:rPr>
        <w:t>Syaifullah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M. 1995. </w:t>
      </w:r>
      <w:proofErr w:type="spellStart"/>
      <w:proofErr w:type="gram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4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upaya-upaya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24D5">
        <w:rPr>
          <w:rFonts w:ascii="Times New Roman" w:hAnsi="Times New Roman" w:cs="Times New Roman"/>
          <w:i/>
          <w:iCs/>
          <w:sz w:val="24"/>
          <w:szCs w:val="24"/>
        </w:rPr>
        <w:t>peningkatannya</w:t>
      </w:r>
      <w:proofErr w:type="spellEnd"/>
      <w:r w:rsidRPr="00F424D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424D5">
        <w:rPr>
          <w:rFonts w:ascii="Times New Roman" w:hAnsi="Times New Roman" w:cs="Times New Roman"/>
          <w:sz w:val="24"/>
          <w:szCs w:val="24"/>
        </w:rPr>
        <w:t xml:space="preserve"> Malang: IKIP Malan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>g</w:t>
      </w:r>
    </w:p>
    <w:p w:rsidR="00F424D5" w:rsidRPr="00F424D5" w:rsidRDefault="00F424D5" w:rsidP="00F424D5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24D5">
        <w:rPr>
          <w:rFonts w:ascii="Times New Roman" w:hAnsi="Times New Roman" w:cs="Times New Roman"/>
          <w:sz w:val="24"/>
          <w:szCs w:val="24"/>
          <w:lang w:val="id-ID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.2006. Standar Isi 2006 Mata Pelajaran </w:t>
      </w:r>
      <w:r w:rsidRPr="00F424D5">
        <w:rPr>
          <w:rFonts w:ascii="Times New Roman" w:hAnsi="Times New Roman" w:cs="Times New Roman"/>
          <w:sz w:val="24"/>
          <w:szCs w:val="24"/>
        </w:rPr>
        <w:t>PKN</w:t>
      </w:r>
      <w:r w:rsidRPr="00F424D5">
        <w:rPr>
          <w:rFonts w:ascii="Times New Roman" w:hAnsi="Times New Roman" w:cs="Times New Roman"/>
          <w:sz w:val="24"/>
          <w:szCs w:val="24"/>
          <w:lang w:val="id-ID"/>
        </w:rPr>
        <w:t xml:space="preserve"> SMP/MTS : Jakarta. Pusat Kurikulum  Depdiknas</w:t>
      </w:r>
    </w:p>
    <w:p w:rsidR="00F424D5" w:rsidRPr="00F424D5" w:rsidRDefault="00F424D5" w:rsidP="00F42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4D5" w:rsidRDefault="00F424D5" w:rsidP="00823D1F">
      <w:pPr>
        <w:spacing w:before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424D5" w:rsidSect="008077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55FB1"/>
    <w:rsid w:val="00061618"/>
    <w:rsid w:val="00122D00"/>
    <w:rsid w:val="007014B9"/>
    <w:rsid w:val="0073171D"/>
    <w:rsid w:val="007670CC"/>
    <w:rsid w:val="008077AA"/>
    <w:rsid w:val="00823D1F"/>
    <w:rsid w:val="00A464EB"/>
    <w:rsid w:val="00A55FB1"/>
    <w:rsid w:val="00E26317"/>
    <w:rsid w:val="00F424D5"/>
    <w:rsid w:val="00FE35FB"/>
    <w:rsid w:val="00F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F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FB1"/>
    <w:rPr>
      <w:rFonts w:ascii="Tahoma" w:eastAsiaTheme="minorHAnsi" w:hAnsi="Tahoma" w:cs="Tahoma"/>
      <w:sz w:val="16"/>
      <w:szCs w:val="16"/>
    </w:rPr>
  </w:style>
  <w:style w:type="paragraph" w:customStyle="1" w:styleId="StyleHeading1Centered">
    <w:name w:val="Style Heading 1 + Centered"/>
    <w:basedOn w:val="Heading1"/>
    <w:rsid w:val="00A55FB1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szCs w:val="20"/>
    </w:rPr>
  </w:style>
  <w:style w:type="character" w:customStyle="1" w:styleId="Heading1Char">
    <w:name w:val="Heading 1 Char"/>
    <w:basedOn w:val="DefaultParagraphFont"/>
    <w:link w:val="Heading1"/>
    <w:rsid w:val="00A55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24D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kguruonline.pendidik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2014-05-06T06:16:00Z</dcterms:created>
  <dcterms:modified xsi:type="dcterms:W3CDTF">2014-05-06T08:35:00Z</dcterms:modified>
</cp:coreProperties>
</file>